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C5" w:rsidRDefault="00921EC5" w:rsidP="00921EC5">
      <w:r>
        <w:tab/>
      </w:r>
    </w:p>
    <w:p w:rsidR="005F2A13" w:rsidRDefault="005F2A13" w:rsidP="005F2A13"/>
    <w:p w:rsidR="005F2A13" w:rsidRDefault="005F2A13" w:rsidP="005F2A13"/>
    <w:p w:rsidR="005F2A13" w:rsidRPr="003D4DA4" w:rsidRDefault="005F2A13" w:rsidP="003D4DA4">
      <w:pPr>
        <w:spacing w:after="240"/>
        <w:rPr>
          <w:b/>
        </w:rPr>
      </w:pPr>
      <w:r w:rsidRPr="004A20C4">
        <w:rPr>
          <w:b/>
        </w:rPr>
        <w:t>STEM Education</w:t>
      </w:r>
    </w:p>
    <w:p w:rsidR="005F2A13" w:rsidRDefault="005F2A13" w:rsidP="005F2A13">
      <w:r w:rsidRPr="00241C12">
        <w:t xml:space="preserve">STEM education is an approach to teaching and learning that integrates the content and skills of </w:t>
      </w:r>
      <w:r>
        <w:t>science</w:t>
      </w:r>
      <w:r w:rsidRPr="00241C12">
        <w:t xml:space="preserve">, </w:t>
      </w:r>
      <w:r>
        <w:t>technology</w:t>
      </w:r>
      <w:r w:rsidRPr="00241C12">
        <w:t xml:space="preserve">, </w:t>
      </w:r>
      <w:r>
        <w:t>engineering</w:t>
      </w:r>
      <w:r w:rsidR="003D4DA4">
        <w:t xml:space="preserve">, and mathematics. </w:t>
      </w:r>
      <w:r w:rsidRPr="00241C12">
        <w:t>STEM Standards of Practice guide STEM instruction by defining the combination of behaviors, integrated with STEM content, which is expected of a proficient STEM student. These behaviors include engagement in inquiry, logical reasoning, col</w:t>
      </w:r>
      <w:r w:rsidR="003D4DA4">
        <w:t xml:space="preserve">laboration, and investigation. </w:t>
      </w:r>
      <w:r w:rsidRPr="00241C12">
        <w:t>The goal of STEM education is to prepare students for post-secondary study and the 21</w:t>
      </w:r>
      <w:r w:rsidRPr="00241C12">
        <w:rPr>
          <w:vertAlign w:val="superscript"/>
        </w:rPr>
        <w:t>st</w:t>
      </w:r>
      <w:r w:rsidRPr="00241C12">
        <w:t xml:space="preserve"> century workforce.  </w:t>
      </w:r>
    </w:p>
    <w:p w:rsidR="005F2A13" w:rsidRDefault="005F2A13" w:rsidP="005F2A13"/>
    <w:p w:rsidR="005F2A13" w:rsidRPr="003D4DA4" w:rsidRDefault="003D4DA4" w:rsidP="003D4DA4">
      <w:pPr>
        <w:spacing w:after="240"/>
        <w:rPr>
          <w:b/>
        </w:rPr>
      </w:pPr>
      <w:r>
        <w:rPr>
          <w:b/>
        </w:rPr>
        <w:t xml:space="preserve">STEM Centric Lesson and </w:t>
      </w:r>
      <w:r w:rsidR="002A7FCE">
        <w:rPr>
          <w:b/>
        </w:rPr>
        <w:t xml:space="preserve">Unit </w:t>
      </w:r>
      <w:r w:rsidR="005F2A13">
        <w:rPr>
          <w:b/>
        </w:rPr>
        <w:t xml:space="preserve">Checklist </w:t>
      </w:r>
      <w:r w:rsidR="005F2A13" w:rsidRPr="004A20C4">
        <w:rPr>
          <w:b/>
        </w:rPr>
        <w:t>Overview</w:t>
      </w:r>
    </w:p>
    <w:p w:rsidR="005F2A13" w:rsidRPr="0031399F" w:rsidRDefault="005F2A13" w:rsidP="005F2A13">
      <w:r>
        <w:t xml:space="preserve">The STEM Centric Lesson and Unit Checklist </w:t>
      </w:r>
      <w:proofErr w:type="gramStart"/>
      <w:r>
        <w:t>was</w:t>
      </w:r>
      <w:proofErr w:type="gramEnd"/>
      <w:r>
        <w:t xml:space="preserve"> created to provide support for educators in the development or modi</w:t>
      </w:r>
      <w:r w:rsidR="00085AAB">
        <w:t>fication of lessons and units</w:t>
      </w:r>
      <w:r w:rsidR="003D4DA4">
        <w:t>.</w:t>
      </w:r>
      <w:r w:rsidR="00CF6DEE">
        <w:t xml:space="preserve"> </w:t>
      </w:r>
      <w:r w:rsidR="00085AAB">
        <w:t>A STEM centric</w:t>
      </w:r>
      <w:r>
        <w:t xml:space="preserve"> lesson</w:t>
      </w:r>
      <w:r w:rsidR="00085AAB">
        <w:t xml:space="preserve"> or unit</w:t>
      </w:r>
      <w:r w:rsidRPr="0031399F">
        <w:t xml:space="preserve"> incorporate</w:t>
      </w:r>
      <w:r>
        <w:t>s</w:t>
      </w:r>
      <w:r w:rsidRPr="0031399F">
        <w:t xml:space="preserve"> the STEM Standards of Practice and reflect</w:t>
      </w:r>
      <w:r>
        <w:t>s the definition</w:t>
      </w:r>
      <w:r w:rsidRPr="0031399F">
        <w:t xml:space="preserve"> of STEM education. </w:t>
      </w:r>
      <w:r>
        <w:t>The attached checklist describes four</w:t>
      </w:r>
      <w:r w:rsidRPr="0031399F">
        <w:t xml:space="preserve"> components to consider when </w:t>
      </w:r>
      <w:r>
        <w:t xml:space="preserve">developing or </w:t>
      </w:r>
      <w:r w:rsidRPr="0031399F">
        <w:t xml:space="preserve">modifying a </w:t>
      </w:r>
      <w:r w:rsidR="00085AAB">
        <w:t>lesson or unit</w:t>
      </w:r>
      <w:r w:rsidR="00DD43C3">
        <w:t xml:space="preserve"> – content standards and the STEM Standards of Practice, real world connection, development of deep conceptual understandings, and diverse learners.  Each component contains criteria represented in a fully develo</w:t>
      </w:r>
      <w:r w:rsidR="003A5CE1">
        <w:t>ped STEM centric le</w:t>
      </w:r>
      <w:r w:rsidR="003D4DA4">
        <w:t xml:space="preserve">sson or unit. </w:t>
      </w:r>
      <w:r w:rsidR="0076280C">
        <w:t>C</w:t>
      </w:r>
      <w:r w:rsidR="003A5CE1">
        <w:t>riterion should only be check</w:t>
      </w:r>
      <w:r w:rsidR="003D4DA4">
        <w:t>ed</w:t>
      </w:r>
      <w:r w:rsidR="003A5CE1">
        <w:t xml:space="preserve"> if the lesson or unit contains evidence of the criterions’ descriptor.</w:t>
      </w:r>
      <w:r w:rsidR="00757E44">
        <w:t xml:space="preserve">  A</w:t>
      </w:r>
      <w:r w:rsidR="002A7FCE">
        <w:t>ll criteria should be checked in a</w:t>
      </w:r>
      <w:r w:rsidR="00757E44">
        <w:t xml:space="preserve"> fully developed STEM centric less</w:t>
      </w:r>
      <w:r w:rsidR="002A7FCE">
        <w:t>on or unit</w:t>
      </w:r>
      <w:r w:rsidR="00757E44">
        <w:t>.</w:t>
      </w:r>
      <w:r w:rsidR="003A5CE1">
        <w:t xml:space="preserve"> </w:t>
      </w:r>
    </w:p>
    <w:p w:rsidR="005F2A13" w:rsidRDefault="005F2A13" w:rsidP="005F2A13"/>
    <w:p w:rsidR="005F2A13" w:rsidRPr="003D4DA4" w:rsidRDefault="005F2A13" w:rsidP="003D4DA4">
      <w:pPr>
        <w:spacing w:after="240"/>
        <w:rPr>
          <w:b/>
        </w:rPr>
      </w:pPr>
      <w:r w:rsidRPr="004A20C4">
        <w:rPr>
          <w:b/>
        </w:rPr>
        <w:t>Using the STE</w:t>
      </w:r>
      <w:r w:rsidR="003A5CE1">
        <w:rPr>
          <w:b/>
        </w:rPr>
        <w:t>M Centric Lesson and Unit Checklist</w:t>
      </w:r>
    </w:p>
    <w:p w:rsidR="005F2A13" w:rsidRDefault="00DD43C3" w:rsidP="005F2A13">
      <w:r>
        <w:t>The STEM Centric</w:t>
      </w:r>
      <w:r w:rsidR="005F2A13">
        <w:t xml:space="preserve"> Lesson</w:t>
      </w:r>
      <w:r>
        <w:t xml:space="preserve"> and Unit Checklist</w:t>
      </w:r>
      <w:r w:rsidR="005F2A13">
        <w:t xml:space="preserve"> should be used as a tool to aid in the development or modification of units and lessons to reflect the definition of STEM Education and incorporate </w:t>
      </w:r>
      <w:r w:rsidR="003D4DA4">
        <w:t>the STEM Standards of Practice.</w:t>
      </w:r>
      <w:r w:rsidR="002A7FCE">
        <w:t xml:space="preserve"> </w:t>
      </w:r>
      <w:r w:rsidR="005F2A13">
        <w:t>This document should be used as a self-reflection tool and a resource t</w:t>
      </w:r>
      <w:r w:rsidR="003D4DA4">
        <w:t xml:space="preserve">o help guide STEM instruction. </w:t>
      </w:r>
      <w:r w:rsidR="005F2A13">
        <w:t>Furth</w:t>
      </w:r>
      <w:r w:rsidR="0076280C">
        <w:t>er, educators can use the checklist</w:t>
      </w:r>
      <w:r w:rsidR="002A7FCE">
        <w:t xml:space="preserve"> to </w:t>
      </w:r>
      <w:r w:rsidR="005F2A13">
        <w:t xml:space="preserve">identify areas of </w:t>
      </w:r>
      <w:r w:rsidR="00085AAB">
        <w:t>improvement and</w:t>
      </w:r>
      <w:r w:rsidR="003D4DA4">
        <w:t xml:space="preserve"> sustainability</w:t>
      </w:r>
      <w:r w:rsidR="002A7FCE">
        <w:t xml:space="preserve"> in a lesson or unit</w:t>
      </w:r>
      <w:r w:rsidR="003D4DA4">
        <w:t xml:space="preserve">. </w:t>
      </w:r>
      <w:r w:rsidR="005F2A13">
        <w:t>This document is not intended to be used for the purposes of teacher evaluation</w:t>
      </w:r>
      <w:r w:rsidR="003A5CE1">
        <w:t xml:space="preserve"> or a “look for” </w:t>
      </w:r>
      <w:r w:rsidR="005F2A13">
        <w:t xml:space="preserve">when conducting classroom visits. </w:t>
      </w:r>
    </w:p>
    <w:p w:rsidR="00C10B97" w:rsidRDefault="00C10B97"/>
    <w:p w:rsidR="00C10B97" w:rsidRDefault="00C10B97"/>
    <w:p w:rsidR="00C10B97" w:rsidRDefault="00C10B97"/>
    <w:p w:rsidR="00C10B97" w:rsidRDefault="00C10B97"/>
    <w:p w:rsidR="00C10B97" w:rsidRDefault="00C10B97"/>
    <w:p w:rsidR="00C10B97" w:rsidRDefault="00C10B97"/>
    <w:p w:rsidR="00C10B97" w:rsidRDefault="00C10B97"/>
    <w:p w:rsidR="003A5CE1" w:rsidRDefault="003A5CE1"/>
    <w:p w:rsidR="003D4DA4" w:rsidRDefault="003D4DA4"/>
    <w:p w:rsidR="00867C66" w:rsidRDefault="00867C66"/>
    <w:p w:rsidR="00285C1C" w:rsidRDefault="00A07743">
      <w:r>
        <w:t>Lesson</w:t>
      </w:r>
      <w:r w:rsidR="00BC300D">
        <w:t xml:space="preserve"> or Unit</w:t>
      </w:r>
      <w:r>
        <w:t xml:space="preserve"> Title: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285C1C" w:rsidRDefault="00A07743">
      <w:r>
        <w:t>Course(s):</w:t>
      </w:r>
      <w:r w:rsidR="00285C1C">
        <w:tab/>
      </w:r>
      <w:r w:rsidR="00285C1C">
        <w:tab/>
      </w:r>
      <w:r w:rsidR="00285C1C">
        <w:tab/>
      </w:r>
      <w:r w:rsidR="00285C1C">
        <w:tab/>
      </w:r>
      <w:r w:rsidR="00285C1C">
        <w:tab/>
      </w:r>
    </w:p>
    <w:tbl>
      <w:tblPr>
        <w:tblStyle w:val="TableGrid"/>
        <w:tblW w:w="14868" w:type="dxa"/>
        <w:tblLayout w:type="fixed"/>
        <w:tblLook w:val="04A0"/>
      </w:tblPr>
      <w:tblGrid>
        <w:gridCol w:w="4026"/>
        <w:gridCol w:w="4026"/>
        <w:gridCol w:w="4026"/>
        <w:gridCol w:w="2790"/>
      </w:tblGrid>
      <w:tr w:rsidR="00A07743" w:rsidTr="003D4DA4">
        <w:trPr>
          <w:trHeight w:val="720"/>
        </w:trPr>
        <w:tc>
          <w:tcPr>
            <w:tcW w:w="4026" w:type="dxa"/>
            <w:vAlign w:val="center"/>
          </w:tcPr>
          <w:p w:rsidR="00A07743" w:rsidRPr="009F68D4" w:rsidRDefault="009F68D4" w:rsidP="00285C1C">
            <w:pPr>
              <w:jc w:val="center"/>
              <w:rPr>
                <w:b/>
              </w:rPr>
            </w:pPr>
            <w:r w:rsidRPr="009F68D4">
              <w:rPr>
                <w:b/>
              </w:rPr>
              <w:t xml:space="preserve"> </w:t>
            </w:r>
            <w:r w:rsidR="00A07743" w:rsidRPr="009F68D4">
              <w:rPr>
                <w:b/>
              </w:rPr>
              <w:t xml:space="preserve">Content </w:t>
            </w:r>
            <w:r w:rsidRPr="009F68D4">
              <w:rPr>
                <w:b/>
              </w:rPr>
              <w:t>Standards and the STEM Standards of Practice</w:t>
            </w:r>
          </w:p>
        </w:tc>
        <w:tc>
          <w:tcPr>
            <w:tcW w:w="4026" w:type="dxa"/>
            <w:vAlign w:val="center"/>
          </w:tcPr>
          <w:p w:rsidR="00A07743" w:rsidRPr="009F68D4" w:rsidRDefault="009F68D4" w:rsidP="00285C1C">
            <w:pPr>
              <w:jc w:val="center"/>
              <w:rPr>
                <w:b/>
              </w:rPr>
            </w:pPr>
            <w:r w:rsidRPr="009F68D4">
              <w:rPr>
                <w:b/>
              </w:rPr>
              <w:t>Real World Connection</w:t>
            </w:r>
          </w:p>
        </w:tc>
        <w:tc>
          <w:tcPr>
            <w:tcW w:w="4026" w:type="dxa"/>
            <w:vAlign w:val="center"/>
          </w:tcPr>
          <w:p w:rsidR="00A07743" w:rsidRPr="009F68D4" w:rsidRDefault="00285C1C" w:rsidP="00285C1C">
            <w:pPr>
              <w:jc w:val="center"/>
              <w:rPr>
                <w:b/>
              </w:rPr>
            </w:pPr>
            <w:bookmarkStart w:id="0" w:name="OLE_LINK1"/>
            <w:r>
              <w:rPr>
                <w:b/>
              </w:rPr>
              <w:t>Development of Deep Conceptual Understandings</w:t>
            </w:r>
            <w:bookmarkEnd w:id="0"/>
          </w:p>
        </w:tc>
        <w:tc>
          <w:tcPr>
            <w:tcW w:w="2790" w:type="dxa"/>
            <w:vAlign w:val="center"/>
          </w:tcPr>
          <w:p w:rsidR="00A07743" w:rsidRPr="009F68D4" w:rsidRDefault="00285C1C" w:rsidP="00285C1C">
            <w:pPr>
              <w:jc w:val="center"/>
              <w:rPr>
                <w:b/>
              </w:rPr>
            </w:pPr>
            <w:r>
              <w:rPr>
                <w:b/>
              </w:rPr>
              <w:t>Diverse Learners</w:t>
            </w:r>
          </w:p>
        </w:tc>
      </w:tr>
      <w:tr w:rsidR="00A07743" w:rsidTr="002A7FCE">
        <w:trPr>
          <w:trHeight w:val="7325"/>
        </w:trPr>
        <w:tc>
          <w:tcPr>
            <w:tcW w:w="4026" w:type="dxa"/>
          </w:tcPr>
          <w:p w:rsidR="00F86F0E" w:rsidRPr="00285C1C" w:rsidRDefault="00F86F0E" w:rsidP="00F86F0E">
            <w:pPr>
              <w:spacing w:before="120"/>
              <w:rPr>
                <w:i/>
                <w:sz w:val="22"/>
                <w:szCs w:val="22"/>
              </w:rPr>
            </w:pPr>
            <w:r w:rsidRPr="00285C1C">
              <w:rPr>
                <w:i/>
                <w:sz w:val="22"/>
                <w:szCs w:val="22"/>
              </w:rPr>
              <w:t>The lesson or unit:</w:t>
            </w:r>
          </w:p>
          <w:p w:rsidR="00F86F0E" w:rsidRDefault="000325EA" w:rsidP="00285C1C">
            <w:pPr>
              <w:spacing w:before="120"/>
              <w:ind w:left="270" w:hanging="270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6F0E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F86F0E" w:rsidRPr="00285C1C">
              <w:rPr>
                <w:sz w:val="22"/>
                <w:szCs w:val="22"/>
              </w:rPr>
              <w:t xml:space="preserve"> Aligns to a target set of</w:t>
            </w:r>
            <w:r w:rsidR="00994700">
              <w:rPr>
                <w:sz w:val="22"/>
                <w:szCs w:val="22"/>
              </w:rPr>
              <w:t xml:space="preserve"> rigorous</w:t>
            </w:r>
            <w:r w:rsidR="00F86F0E" w:rsidRPr="00285C1C">
              <w:rPr>
                <w:sz w:val="22"/>
                <w:szCs w:val="22"/>
              </w:rPr>
              <w:t xml:space="preserve"> course content standards.</w:t>
            </w:r>
          </w:p>
          <w:p w:rsidR="003D4DA4" w:rsidRDefault="003D4DA4" w:rsidP="001A14C9">
            <w:pPr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content standards below:</w:t>
            </w:r>
          </w:p>
          <w:p w:rsidR="003D4DA4" w:rsidRDefault="003D4DA4" w:rsidP="003D4DA4">
            <w:pPr>
              <w:spacing w:before="120"/>
              <w:rPr>
                <w:sz w:val="22"/>
                <w:szCs w:val="22"/>
              </w:rPr>
            </w:pPr>
          </w:p>
          <w:p w:rsidR="003D4DA4" w:rsidRDefault="003D4DA4" w:rsidP="003D4DA4">
            <w:pPr>
              <w:rPr>
                <w:sz w:val="22"/>
                <w:szCs w:val="22"/>
              </w:rPr>
            </w:pPr>
          </w:p>
          <w:p w:rsidR="002A7FCE" w:rsidRPr="00285C1C" w:rsidRDefault="002A7FCE" w:rsidP="003D4DA4">
            <w:pPr>
              <w:rPr>
                <w:sz w:val="22"/>
                <w:szCs w:val="22"/>
              </w:rPr>
            </w:pPr>
          </w:p>
          <w:p w:rsidR="003D4DA4" w:rsidRDefault="000325EA" w:rsidP="003D4DA4">
            <w:pPr>
              <w:spacing w:before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6F0E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F86F0E" w:rsidRPr="00285C1C">
              <w:rPr>
                <w:sz w:val="22"/>
                <w:szCs w:val="22"/>
              </w:rPr>
              <w:t xml:space="preserve"> Aligns to the STEM Standards of Practice.</w:t>
            </w:r>
          </w:p>
          <w:p w:rsidR="003D4DA4" w:rsidRDefault="003D4DA4" w:rsidP="001A14C9">
            <w:pPr>
              <w:ind w:left="274" w:hanging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Practices below:</w:t>
            </w:r>
          </w:p>
          <w:p w:rsidR="003D4DA4" w:rsidRDefault="003D4DA4" w:rsidP="003D4DA4">
            <w:pPr>
              <w:spacing w:before="120"/>
              <w:ind w:left="274" w:hanging="274"/>
              <w:rPr>
                <w:sz w:val="22"/>
                <w:szCs w:val="22"/>
              </w:rPr>
            </w:pPr>
          </w:p>
          <w:p w:rsidR="003D4DA4" w:rsidRDefault="003D4DA4" w:rsidP="003D4DA4">
            <w:pPr>
              <w:ind w:left="274" w:hanging="274"/>
              <w:rPr>
                <w:sz w:val="22"/>
                <w:szCs w:val="22"/>
              </w:rPr>
            </w:pPr>
          </w:p>
          <w:p w:rsidR="002A7FCE" w:rsidRPr="00285C1C" w:rsidRDefault="002A7FCE" w:rsidP="002A7FCE">
            <w:pPr>
              <w:rPr>
                <w:sz w:val="22"/>
                <w:szCs w:val="22"/>
              </w:rPr>
            </w:pPr>
          </w:p>
          <w:p w:rsidR="00F86F0E" w:rsidRDefault="000325EA" w:rsidP="00285C1C">
            <w:pPr>
              <w:spacing w:before="120"/>
              <w:ind w:left="270" w:hanging="270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6F0E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F86F0E" w:rsidRPr="00285C1C">
              <w:rPr>
                <w:sz w:val="22"/>
                <w:szCs w:val="22"/>
              </w:rPr>
              <w:t xml:space="preserve"> Integrates content standards from science, technology, engineering, or mathematics courses as appropriate to address the real world connection.</w:t>
            </w:r>
          </w:p>
          <w:p w:rsidR="003D4DA4" w:rsidRDefault="003D4DA4" w:rsidP="001A14C9">
            <w:pPr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standards below:</w:t>
            </w:r>
          </w:p>
          <w:p w:rsidR="003D4DA4" w:rsidRDefault="003D4DA4" w:rsidP="003D4DA4">
            <w:pPr>
              <w:spacing w:before="120"/>
              <w:rPr>
                <w:sz w:val="22"/>
                <w:szCs w:val="22"/>
              </w:rPr>
            </w:pPr>
          </w:p>
          <w:p w:rsidR="003D4DA4" w:rsidRPr="00285C1C" w:rsidRDefault="003D4DA4" w:rsidP="003D4DA4">
            <w:pPr>
              <w:rPr>
                <w:sz w:val="22"/>
                <w:szCs w:val="22"/>
              </w:rPr>
            </w:pPr>
          </w:p>
          <w:p w:rsidR="00CF6DEE" w:rsidRPr="00285C1C" w:rsidRDefault="00CF6DEE" w:rsidP="002A7FCE">
            <w:pPr>
              <w:rPr>
                <w:sz w:val="22"/>
                <w:szCs w:val="22"/>
              </w:rPr>
            </w:pPr>
          </w:p>
          <w:p w:rsidR="00A07743" w:rsidRPr="00285C1C" w:rsidRDefault="000325EA" w:rsidP="003D4DA4">
            <w:pPr>
              <w:spacing w:before="120"/>
              <w:ind w:left="270" w:hanging="270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6F0E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F86F0E" w:rsidRPr="00285C1C">
              <w:rPr>
                <w:sz w:val="22"/>
                <w:szCs w:val="22"/>
              </w:rPr>
              <w:t xml:space="preserve"> Focuses teaching and learning on developing content mastery and STEM proficiency.</w:t>
            </w:r>
          </w:p>
        </w:tc>
        <w:tc>
          <w:tcPr>
            <w:tcW w:w="4026" w:type="dxa"/>
          </w:tcPr>
          <w:p w:rsidR="00285C1C" w:rsidRPr="00285C1C" w:rsidRDefault="00285C1C" w:rsidP="00285C1C">
            <w:pPr>
              <w:spacing w:before="120"/>
              <w:rPr>
                <w:i/>
                <w:sz w:val="22"/>
                <w:szCs w:val="22"/>
              </w:rPr>
            </w:pPr>
            <w:r w:rsidRPr="00285C1C">
              <w:rPr>
                <w:i/>
                <w:sz w:val="22"/>
                <w:szCs w:val="22"/>
              </w:rPr>
              <w:t>The lesson or unit:</w:t>
            </w:r>
          </w:p>
          <w:p w:rsidR="00285C1C" w:rsidRPr="00285C1C" w:rsidRDefault="000325EA" w:rsidP="00867C66">
            <w:pPr>
              <w:spacing w:before="120"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Presents the real world connection in the form of a complex question, global issue, challenge, or problem.</w:t>
            </w:r>
          </w:p>
          <w:p w:rsidR="00285C1C" w:rsidRPr="00285C1C" w:rsidRDefault="000325EA" w:rsidP="00867C66">
            <w:pPr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Provides opportunities for students to apply content</w:t>
            </w:r>
            <w:r w:rsidR="00DD43C3">
              <w:rPr>
                <w:sz w:val="22"/>
                <w:szCs w:val="22"/>
              </w:rPr>
              <w:t xml:space="preserve"> knowledge</w:t>
            </w:r>
            <w:r w:rsidR="00285C1C" w:rsidRPr="00285C1C">
              <w:rPr>
                <w:sz w:val="22"/>
                <w:szCs w:val="22"/>
              </w:rPr>
              <w:t xml:space="preserve"> from multiple courses as</w:t>
            </w:r>
            <w:r w:rsidR="00285C1C">
              <w:rPr>
                <w:sz w:val="22"/>
                <w:szCs w:val="22"/>
              </w:rPr>
              <w:t xml:space="preserve"> appropriate to answer complex </w:t>
            </w:r>
            <w:r w:rsidR="00285C1C" w:rsidRPr="00285C1C">
              <w:rPr>
                <w:sz w:val="22"/>
                <w:szCs w:val="22"/>
              </w:rPr>
              <w:t>questions, t</w:t>
            </w:r>
            <w:r w:rsidR="00D15A3A">
              <w:rPr>
                <w:sz w:val="22"/>
                <w:szCs w:val="22"/>
              </w:rPr>
              <w:t>o investigate global issues, or</w:t>
            </w:r>
            <w:r w:rsidR="00285C1C" w:rsidRPr="00285C1C">
              <w:rPr>
                <w:sz w:val="22"/>
                <w:szCs w:val="22"/>
              </w:rPr>
              <w:t xml:space="preserve"> to develop solutions for challenges and real world problems.</w:t>
            </w:r>
          </w:p>
          <w:p w:rsidR="00285C1C" w:rsidRPr="00285C1C" w:rsidRDefault="000325EA" w:rsidP="00867C66">
            <w:pPr>
              <w:spacing w:before="120"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Provides opportunities for students to develop or use a systematic approach (e.g.: engineering design process, scientific and engineering practices) to investigate</w:t>
            </w:r>
            <w:r w:rsidR="00994700">
              <w:rPr>
                <w:sz w:val="22"/>
                <w:szCs w:val="22"/>
              </w:rPr>
              <w:t xml:space="preserve"> and develop solutio</w:t>
            </w:r>
            <w:r w:rsidR="00F348A1">
              <w:rPr>
                <w:sz w:val="22"/>
                <w:szCs w:val="22"/>
              </w:rPr>
              <w:t>ns or answers to</w:t>
            </w:r>
            <w:r w:rsidR="00285C1C" w:rsidRPr="00285C1C">
              <w:rPr>
                <w:sz w:val="22"/>
                <w:szCs w:val="22"/>
              </w:rPr>
              <w:t xml:space="preserve"> the real world connection.</w:t>
            </w:r>
          </w:p>
          <w:p w:rsidR="00A07743" w:rsidRPr="00285C1C" w:rsidRDefault="000325EA" w:rsidP="00DD43C3">
            <w:pPr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Provides opportunities for students to understand the relationship between the real world connection, course content, and the work performed by STEM professionals.</w:t>
            </w:r>
          </w:p>
        </w:tc>
        <w:tc>
          <w:tcPr>
            <w:tcW w:w="4026" w:type="dxa"/>
          </w:tcPr>
          <w:p w:rsidR="00285C1C" w:rsidRPr="00285C1C" w:rsidRDefault="00285C1C" w:rsidP="00CF6DEE">
            <w:pPr>
              <w:spacing w:before="120" w:after="120"/>
              <w:rPr>
                <w:i/>
                <w:sz w:val="22"/>
                <w:szCs w:val="22"/>
              </w:rPr>
            </w:pPr>
            <w:r w:rsidRPr="00285C1C">
              <w:rPr>
                <w:i/>
                <w:sz w:val="22"/>
                <w:szCs w:val="22"/>
              </w:rPr>
              <w:t>The lesson or unit:</w:t>
            </w:r>
            <w:r w:rsidRPr="00285C1C">
              <w:rPr>
                <w:i/>
                <w:sz w:val="22"/>
                <w:szCs w:val="22"/>
              </w:rPr>
              <w:tab/>
            </w:r>
          </w:p>
          <w:p w:rsidR="00285C1C" w:rsidRDefault="000325EA" w:rsidP="00867C66">
            <w:pPr>
              <w:spacing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Requires students to employ higher order thinking skills in the application of content knowledge.</w:t>
            </w:r>
          </w:p>
          <w:p w:rsidR="00994700" w:rsidRPr="00285C1C" w:rsidRDefault="000325EA" w:rsidP="00867C66">
            <w:pPr>
              <w:spacing w:after="120"/>
              <w:ind w:left="274" w:hanging="2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9"/>
            <w:r w:rsidR="00994700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994700">
              <w:rPr>
                <w:sz w:val="22"/>
                <w:szCs w:val="22"/>
              </w:rPr>
              <w:t xml:space="preserve"> Provides opportunities for students to adapt or extend concepts, activities, or projects to enhance their understanding.</w:t>
            </w:r>
          </w:p>
          <w:p w:rsidR="00285C1C" w:rsidRPr="00285C1C" w:rsidRDefault="000325EA" w:rsidP="00867C66">
            <w:pPr>
              <w:spacing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32E7A">
              <w:rPr>
                <w:sz w:val="22"/>
                <w:szCs w:val="22"/>
              </w:rPr>
              <w:t xml:space="preserve"> Provides opportunities for students to develop understanding of content through</w:t>
            </w:r>
            <w:r w:rsidR="00285C1C" w:rsidRPr="00285C1C">
              <w:rPr>
                <w:sz w:val="22"/>
                <w:szCs w:val="22"/>
              </w:rPr>
              <w:t xml:space="preserve"> questioning, problem solving, collaboration, and hands-on activities. </w:t>
            </w:r>
          </w:p>
          <w:p w:rsidR="00285C1C" w:rsidRPr="00285C1C" w:rsidRDefault="000325EA" w:rsidP="00867C66">
            <w:pPr>
              <w:spacing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DD119D">
              <w:rPr>
                <w:sz w:val="22"/>
                <w:szCs w:val="22"/>
              </w:rPr>
              <w:t xml:space="preserve"> Provides opportunities for </w:t>
            </w:r>
            <w:r w:rsidR="00285C1C" w:rsidRPr="00285C1C">
              <w:rPr>
                <w:sz w:val="22"/>
                <w:szCs w:val="22"/>
              </w:rPr>
              <w:t xml:space="preserve">students to demonstrate their understanding of content and </w:t>
            </w:r>
            <w:r w:rsidR="00DD119D">
              <w:rPr>
                <w:sz w:val="22"/>
                <w:szCs w:val="22"/>
              </w:rPr>
              <w:t xml:space="preserve">the </w:t>
            </w:r>
            <w:r w:rsidR="00285C1C" w:rsidRPr="00285C1C">
              <w:rPr>
                <w:sz w:val="22"/>
                <w:szCs w:val="22"/>
              </w:rPr>
              <w:t>application of the STEM Standards of Practice independently</w:t>
            </w:r>
            <w:r w:rsidR="00CF6DEE">
              <w:rPr>
                <w:sz w:val="22"/>
                <w:szCs w:val="22"/>
              </w:rPr>
              <w:t xml:space="preserve"> (this check box is for a unit containing multiple lessons)</w:t>
            </w:r>
            <w:r w:rsidR="00285C1C" w:rsidRPr="00285C1C">
              <w:rPr>
                <w:sz w:val="22"/>
                <w:szCs w:val="22"/>
              </w:rPr>
              <w:t>.</w:t>
            </w:r>
          </w:p>
          <w:p w:rsidR="00A07743" w:rsidRPr="00285C1C" w:rsidRDefault="00A07743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</w:tcPr>
          <w:p w:rsidR="00285C1C" w:rsidRPr="00285C1C" w:rsidRDefault="00285C1C" w:rsidP="00285C1C">
            <w:pPr>
              <w:spacing w:before="120" w:after="120"/>
              <w:rPr>
                <w:i/>
                <w:sz w:val="22"/>
                <w:szCs w:val="22"/>
              </w:rPr>
            </w:pPr>
            <w:r w:rsidRPr="00285C1C">
              <w:rPr>
                <w:i/>
                <w:sz w:val="22"/>
                <w:szCs w:val="22"/>
              </w:rPr>
              <w:t xml:space="preserve">The lesson or unit </w:t>
            </w:r>
            <w:r w:rsidR="00D70A5A">
              <w:rPr>
                <w:i/>
                <w:sz w:val="22"/>
                <w:szCs w:val="22"/>
              </w:rPr>
              <w:t>incorporates the following</w:t>
            </w:r>
            <w:r w:rsidRPr="00285C1C">
              <w:rPr>
                <w:i/>
                <w:sz w:val="22"/>
                <w:szCs w:val="22"/>
              </w:rPr>
              <w:t xml:space="preserve"> as appropriate to meet the needs of diverse learners:</w:t>
            </w:r>
          </w:p>
          <w:p w:rsidR="00285C1C" w:rsidRPr="00285C1C" w:rsidRDefault="000325EA" w:rsidP="00867C66">
            <w:pPr>
              <w:spacing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Universal Design for Learning Principals </w:t>
            </w:r>
            <w:hyperlink r:id="rId8" w:history="1">
              <w:r w:rsidR="00285C1C" w:rsidRPr="00867C66">
                <w:rPr>
                  <w:rStyle w:val="Hyperlink"/>
                  <w:sz w:val="18"/>
                  <w:szCs w:val="18"/>
                </w:rPr>
                <w:t>http://marylandlearninglinks.org/950</w:t>
              </w:r>
            </w:hyperlink>
          </w:p>
          <w:p w:rsidR="00285C1C" w:rsidRPr="00285C1C" w:rsidRDefault="000325EA" w:rsidP="00867C66">
            <w:pPr>
              <w:spacing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</w:t>
            </w:r>
            <w:proofErr w:type="spellStart"/>
            <w:r w:rsidR="00285C1C" w:rsidRPr="00285C1C">
              <w:rPr>
                <w:sz w:val="22"/>
                <w:szCs w:val="22"/>
              </w:rPr>
              <w:t>WIDA</w:t>
            </w:r>
            <w:proofErr w:type="spellEnd"/>
            <w:r w:rsidR="00285C1C" w:rsidRPr="00285C1C">
              <w:rPr>
                <w:sz w:val="22"/>
                <w:szCs w:val="22"/>
              </w:rPr>
              <w:t xml:space="preserve"> Performance Definitions and CAN DO Descriptors </w:t>
            </w:r>
            <w:hyperlink r:id="rId9" w:history="1">
              <w:r w:rsidR="00285C1C" w:rsidRPr="00867C66">
                <w:rPr>
                  <w:rStyle w:val="Hyperlink"/>
                  <w:sz w:val="17"/>
                  <w:szCs w:val="17"/>
                </w:rPr>
                <w:t>http://www.wida.us/standards/CAN_DOs/</w:t>
              </w:r>
            </w:hyperlink>
          </w:p>
          <w:p w:rsidR="00285C1C" w:rsidRPr="00285C1C" w:rsidRDefault="000325EA" w:rsidP="00867C66">
            <w:pPr>
              <w:spacing w:after="120"/>
              <w:ind w:left="274" w:hanging="274"/>
              <w:rPr>
                <w:sz w:val="22"/>
                <w:szCs w:val="22"/>
              </w:rPr>
            </w:pPr>
            <w:r w:rsidRPr="00285C1C">
              <w:rPr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C1C" w:rsidRPr="00285C1C">
              <w:rPr>
                <w:sz w:val="22"/>
                <w:szCs w:val="22"/>
              </w:rPr>
              <w:instrText xml:space="preserve"> FORMCHECKBOX </w:instrText>
            </w:r>
            <w:r w:rsidRPr="00285C1C">
              <w:rPr>
                <w:sz w:val="22"/>
                <w:szCs w:val="22"/>
              </w:rPr>
            </w:r>
            <w:r w:rsidRPr="00285C1C">
              <w:rPr>
                <w:sz w:val="22"/>
                <w:szCs w:val="22"/>
              </w:rPr>
              <w:fldChar w:fldCharType="end"/>
            </w:r>
            <w:r w:rsidR="00285C1C" w:rsidRPr="00285C1C">
              <w:rPr>
                <w:sz w:val="22"/>
                <w:szCs w:val="22"/>
              </w:rPr>
              <w:t xml:space="preserve"> Accelerations or enhancements for gifted and talented students. </w:t>
            </w:r>
          </w:p>
          <w:p w:rsidR="00A07743" w:rsidRDefault="00A07743"/>
        </w:tc>
      </w:tr>
    </w:tbl>
    <w:p w:rsidR="00A07743" w:rsidRPr="005F2A13" w:rsidRDefault="005F2A13" w:rsidP="003D4DA4">
      <w:pPr>
        <w:spacing w:before="120"/>
        <w:rPr>
          <w:sz w:val="22"/>
          <w:szCs w:val="22"/>
        </w:rPr>
      </w:pPr>
      <w:r w:rsidRPr="00867C66">
        <w:rPr>
          <w:b/>
          <w:sz w:val="22"/>
          <w:szCs w:val="22"/>
        </w:rPr>
        <w:t>Note about assessments</w:t>
      </w:r>
      <w:r w:rsidRPr="005F2A13">
        <w:rPr>
          <w:sz w:val="22"/>
          <w:szCs w:val="22"/>
        </w:rPr>
        <w:t xml:space="preserve">:  Assessments should be given </w:t>
      </w:r>
      <w:r w:rsidR="00C9604A">
        <w:rPr>
          <w:sz w:val="22"/>
          <w:szCs w:val="22"/>
        </w:rPr>
        <w:t>regularly</w:t>
      </w:r>
      <w:r w:rsidR="003A5CE1">
        <w:rPr>
          <w:sz w:val="22"/>
          <w:szCs w:val="22"/>
        </w:rPr>
        <w:t xml:space="preserve"> throughout a lesson or unit</w:t>
      </w:r>
      <w:r w:rsidRPr="005F2A13">
        <w:rPr>
          <w:sz w:val="22"/>
          <w:szCs w:val="22"/>
        </w:rPr>
        <w:t xml:space="preserve"> to collect evidence of student learning and </w:t>
      </w:r>
      <w:r w:rsidR="00085AAB">
        <w:rPr>
          <w:sz w:val="22"/>
          <w:szCs w:val="22"/>
        </w:rPr>
        <w:t xml:space="preserve">raise the quality of teaching. </w:t>
      </w:r>
      <w:r w:rsidR="00C9604A">
        <w:rPr>
          <w:sz w:val="22"/>
          <w:szCs w:val="22"/>
        </w:rPr>
        <w:t>Assessments should be</w:t>
      </w:r>
      <w:r w:rsidRPr="005F2A13">
        <w:rPr>
          <w:sz w:val="22"/>
          <w:szCs w:val="22"/>
        </w:rPr>
        <w:t xml:space="preserve"> varied, aligned to instructional outcomes, designed to measure progress towards mastery of content and STEM proficiency, a</w:t>
      </w:r>
      <w:r w:rsidR="00796B6E">
        <w:rPr>
          <w:sz w:val="22"/>
          <w:szCs w:val="22"/>
        </w:rPr>
        <w:t xml:space="preserve">nd include </w:t>
      </w:r>
      <w:r w:rsidRPr="005F2A13">
        <w:rPr>
          <w:sz w:val="22"/>
          <w:szCs w:val="22"/>
        </w:rPr>
        <w:t>rubric-based perform</w:t>
      </w:r>
      <w:r w:rsidR="00C9604A">
        <w:rPr>
          <w:sz w:val="22"/>
          <w:szCs w:val="22"/>
        </w:rPr>
        <w:t>ance tasks</w:t>
      </w:r>
      <w:r w:rsidRPr="005F2A13">
        <w:rPr>
          <w:sz w:val="22"/>
          <w:szCs w:val="22"/>
        </w:rPr>
        <w:t xml:space="preserve"> that are relevant to the real world of work. The unit or lesson</w:t>
      </w:r>
      <w:r w:rsidR="00C9604A">
        <w:rPr>
          <w:sz w:val="22"/>
          <w:szCs w:val="22"/>
        </w:rPr>
        <w:t xml:space="preserve"> should provide</w:t>
      </w:r>
      <w:r w:rsidRPr="005F2A13">
        <w:rPr>
          <w:sz w:val="22"/>
          <w:szCs w:val="22"/>
        </w:rPr>
        <w:t xml:space="preserve"> students multiple opportunities to demonstrate mastery of content and STEM proficiency.</w:t>
      </w:r>
    </w:p>
    <w:p w:rsidR="00A07743" w:rsidRDefault="00A07743"/>
    <w:p w:rsidR="00A07743" w:rsidRDefault="00A07743"/>
    <w:p w:rsidR="00A07743" w:rsidRDefault="00A07743"/>
    <w:p w:rsidR="005F2A13" w:rsidRPr="00AA42F8" w:rsidRDefault="005F2A13" w:rsidP="005F2A13">
      <w:pPr>
        <w:rPr>
          <w:b/>
        </w:rPr>
      </w:pPr>
      <w:r w:rsidRPr="00AA42F8">
        <w:rPr>
          <w:b/>
        </w:rPr>
        <w:t>Works Consulted:</w:t>
      </w:r>
    </w:p>
    <w:p w:rsidR="005F2A13" w:rsidRPr="00AA42F8" w:rsidRDefault="005F2A13" w:rsidP="005F2A13"/>
    <w:p w:rsidR="005F2A13" w:rsidRPr="00AA42F8" w:rsidRDefault="005F2A13" w:rsidP="005F2A13">
      <w:r w:rsidRPr="00AA42F8">
        <w:t xml:space="preserve">Danielson, C. </w:t>
      </w:r>
      <w:r>
        <w:rPr>
          <w:i/>
          <w:iCs/>
        </w:rPr>
        <w:t xml:space="preserve">Enhancing Professional Practice, </w:t>
      </w: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 Framework for T</w:t>
      </w:r>
      <w:r w:rsidRPr="00AA42F8">
        <w:rPr>
          <w:i/>
          <w:iCs/>
        </w:rPr>
        <w:t>eaching</w:t>
      </w:r>
      <w:r w:rsidRPr="00AA42F8">
        <w:t xml:space="preserve">. Association for Supervision &amp; Curriculum </w:t>
      </w:r>
    </w:p>
    <w:p w:rsidR="005F2A13" w:rsidRDefault="005F2A13" w:rsidP="005F2A13">
      <w:pPr>
        <w:ind w:left="720"/>
      </w:pPr>
      <w:proofErr w:type="gramStart"/>
      <w:r w:rsidRPr="00AA42F8">
        <w:t>Development, 2009.</w:t>
      </w:r>
      <w:proofErr w:type="gramEnd"/>
    </w:p>
    <w:p w:rsidR="005F2A13" w:rsidRPr="00AA42F8" w:rsidRDefault="005F2A13" w:rsidP="005F2A13">
      <w:pPr>
        <w:ind w:left="720" w:hanging="720"/>
      </w:pPr>
    </w:p>
    <w:p w:rsidR="005F2A13" w:rsidRPr="00AA42F8" w:rsidRDefault="005F2A13" w:rsidP="005F2A13">
      <w:pPr>
        <w:ind w:left="720" w:hanging="720"/>
        <w:rPr>
          <w:rFonts w:eastAsia="Times New Roman"/>
        </w:rPr>
      </w:pPr>
      <w:proofErr w:type="gramStart"/>
      <w:r w:rsidRPr="00AA42F8">
        <w:rPr>
          <w:rFonts w:eastAsia="Times New Roman"/>
        </w:rPr>
        <w:t xml:space="preserve">Rowley, </w:t>
      </w:r>
      <w:r>
        <w:rPr>
          <w:rFonts w:eastAsia="Times New Roman"/>
        </w:rPr>
        <w:t xml:space="preserve">James, and </w:t>
      </w:r>
      <w:proofErr w:type="spellStart"/>
      <w:r>
        <w:rPr>
          <w:rFonts w:eastAsia="Times New Roman"/>
        </w:rPr>
        <w:t>Margy</w:t>
      </w:r>
      <w:proofErr w:type="spellEnd"/>
      <w:r>
        <w:rPr>
          <w:rFonts w:eastAsia="Times New Roman"/>
        </w:rPr>
        <w:t xml:space="preserve"> Stevens.</w:t>
      </w:r>
      <w:proofErr w:type="gramEnd"/>
      <w:r>
        <w:rPr>
          <w:rFonts w:eastAsia="Times New Roman"/>
        </w:rPr>
        <w:t xml:space="preserve"> </w:t>
      </w:r>
      <w:proofErr w:type="spellStart"/>
      <w:proofErr w:type="gramStart"/>
      <w:r w:rsidRPr="005F2A13">
        <w:rPr>
          <w:rFonts w:eastAsia="Times New Roman"/>
          <w:i/>
        </w:rPr>
        <w:t>STEMed</w:t>
      </w:r>
      <w:proofErr w:type="spellEnd"/>
      <w:r w:rsidRPr="005F2A13">
        <w:rPr>
          <w:rFonts w:eastAsia="Times New Roman"/>
          <w:i/>
        </w:rPr>
        <w:t xml:space="preserve"> Quality Framework</w:t>
      </w:r>
      <w:r>
        <w:rPr>
          <w:rFonts w:eastAsia="Times New Roman"/>
        </w:rPr>
        <w:t>.</w:t>
      </w:r>
      <w:proofErr w:type="gramEnd"/>
      <w:r>
        <w:rPr>
          <w:rFonts w:eastAsia="Times New Roman"/>
        </w:rPr>
        <w:t xml:space="preserve"> </w:t>
      </w:r>
      <w:r w:rsidRPr="00AA42F8">
        <w:rPr>
          <w:rFonts w:eastAsia="Times New Roman"/>
        </w:rPr>
        <w:t xml:space="preserve"> </w:t>
      </w:r>
      <w:proofErr w:type="gramStart"/>
      <w:r w:rsidRPr="00AA42F8">
        <w:rPr>
          <w:rFonts w:eastAsia="Times New Roman"/>
        </w:rPr>
        <w:t>The Dayton Regi</w:t>
      </w:r>
      <w:r>
        <w:rPr>
          <w:rFonts w:eastAsia="Times New Roman"/>
        </w:rPr>
        <w:t>onal STEM Center, 2011.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Web.</w:t>
      </w:r>
      <w:proofErr w:type="gramEnd"/>
      <w:r>
        <w:rPr>
          <w:rFonts w:eastAsia="Times New Roman"/>
        </w:rPr>
        <w:t xml:space="preserve"> Sep 2011</w:t>
      </w:r>
      <w:r w:rsidRPr="00AA42F8">
        <w:rPr>
          <w:rFonts w:eastAsia="Times New Roman"/>
        </w:rPr>
        <w:t xml:space="preserve">. </w:t>
      </w:r>
      <w:proofErr w:type="gramStart"/>
      <w:r w:rsidRPr="00AA42F8">
        <w:rPr>
          <w:rFonts w:eastAsia="Times New Roman"/>
        </w:rPr>
        <w:t>&lt;http://www.daytonregionalstemcenter.org/uploads/documents/Final Framework copyrighted.pdf&gt;.</w:t>
      </w:r>
      <w:proofErr w:type="gramEnd"/>
      <w:r w:rsidRPr="00AA42F8">
        <w:rPr>
          <w:rFonts w:eastAsia="Times New Roman"/>
        </w:rPr>
        <w:t xml:space="preserve"> </w:t>
      </w:r>
    </w:p>
    <w:p w:rsidR="005F2A13" w:rsidRPr="00AA42F8" w:rsidRDefault="005F2A13" w:rsidP="005F2A13">
      <w:pPr>
        <w:ind w:firstLine="720"/>
      </w:pPr>
    </w:p>
    <w:p w:rsidR="005F2A13" w:rsidRDefault="005F2A13" w:rsidP="005F2A13">
      <w:pPr>
        <w:rPr>
          <w:rFonts w:eastAsia="Times New Roman"/>
        </w:rPr>
      </w:pPr>
      <w:r>
        <w:rPr>
          <w:rFonts w:eastAsia="Times New Roman"/>
          <w:i/>
          <w:iCs/>
        </w:rPr>
        <w:t xml:space="preserve">Teacher and Principal Practice </w:t>
      </w:r>
      <w:proofErr w:type="gramStart"/>
      <w:r>
        <w:rPr>
          <w:rFonts w:eastAsia="Times New Roman"/>
          <w:i/>
          <w:iCs/>
        </w:rPr>
        <w:t>R</w:t>
      </w:r>
      <w:r w:rsidRPr="007066DE">
        <w:rPr>
          <w:rFonts w:eastAsia="Times New Roman"/>
          <w:i/>
          <w:iCs/>
        </w:rPr>
        <w:t xml:space="preserve">ubrics </w:t>
      </w:r>
      <w:r w:rsidRPr="00AA42F8">
        <w:rPr>
          <w:rFonts w:eastAsia="Times New Roman"/>
        </w:rPr>
        <w:t>.</w:t>
      </w:r>
      <w:proofErr w:type="gramEnd"/>
      <w:r w:rsidRPr="00AA42F8">
        <w:rPr>
          <w:rFonts w:eastAsia="Times New Roman"/>
        </w:rPr>
        <w:t xml:space="preserve"> </w:t>
      </w:r>
      <w:proofErr w:type="gramStart"/>
      <w:r w:rsidRPr="00AA42F8">
        <w:rPr>
          <w:rFonts w:eastAsia="Times New Roman"/>
        </w:rPr>
        <w:t>NYSED.gov, 2011.</w:t>
      </w:r>
      <w:proofErr w:type="gramEnd"/>
      <w:r w:rsidRPr="00AA42F8">
        <w:rPr>
          <w:rFonts w:eastAsia="Times New Roman"/>
        </w:rPr>
        <w:t xml:space="preserve"> </w:t>
      </w:r>
      <w:proofErr w:type="gramStart"/>
      <w:r w:rsidRPr="00AA42F8">
        <w:rPr>
          <w:rFonts w:eastAsia="Times New Roman"/>
        </w:rPr>
        <w:t>Web.</w:t>
      </w:r>
      <w:proofErr w:type="gramEnd"/>
      <w:r w:rsidRPr="00AA42F8">
        <w:rPr>
          <w:rFonts w:eastAsia="Times New Roman"/>
        </w:rPr>
        <w:t xml:space="preserve"> Feb</w:t>
      </w:r>
      <w:r w:rsidRPr="007066DE">
        <w:rPr>
          <w:rFonts w:eastAsia="Times New Roman"/>
        </w:rPr>
        <w:t xml:space="preserve"> 2012. </w:t>
      </w:r>
      <w:r>
        <w:rPr>
          <w:rFonts w:eastAsia="Times New Roman"/>
        </w:rPr>
        <w:t xml:space="preserve"> </w:t>
      </w:r>
    </w:p>
    <w:p w:rsidR="005F2A13" w:rsidRPr="007066DE" w:rsidRDefault="005F2A13" w:rsidP="005F2A13">
      <w:pPr>
        <w:ind w:firstLine="720"/>
        <w:rPr>
          <w:rFonts w:eastAsia="Times New Roman"/>
        </w:rPr>
      </w:pPr>
      <w:r w:rsidRPr="007066DE">
        <w:rPr>
          <w:rFonts w:eastAsia="Times New Roman"/>
        </w:rPr>
        <w:t>&lt;</w:t>
      </w:r>
      <w:bookmarkStart w:id="2" w:name="OLE_LINK9"/>
      <w:bookmarkStart w:id="3" w:name="OLE_LINK10"/>
      <w:bookmarkStart w:id="4" w:name="OLE_LINK26"/>
      <w:r w:rsidRPr="007066DE">
        <w:rPr>
          <w:rFonts w:eastAsia="Times New Roman"/>
        </w:rPr>
        <w:t>http://usny.nysed.gov/rttt/te</w:t>
      </w:r>
      <w:r w:rsidRPr="00AA42F8">
        <w:rPr>
          <w:rFonts w:eastAsia="Times New Roman"/>
        </w:rPr>
        <w:t>achers-leaders/practicerubrics</w:t>
      </w:r>
      <w:bookmarkEnd w:id="2"/>
      <w:bookmarkEnd w:id="3"/>
      <w:r w:rsidRPr="00AA42F8">
        <w:rPr>
          <w:rFonts w:eastAsia="Times New Roman"/>
        </w:rPr>
        <w:t>/</w:t>
      </w:r>
      <w:r w:rsidRPr="007066DE">
        <w:rPr>
          <w:rFonts w:eastAsia="Times New Roman"/>
        </w:rPr>
        <w:t xml:space="preserve">&gt;. </w:t>
      </w:r>
      <w:bookmarkEnd w:id="4"/>
    </w:p>
    <w:p w:rsidR="005F2A13" w:rsidRDefault="005F2A13"/>
    <w:p w:rsidR="005F2A13" w:rsidRDefault="005F2A13" w:rsidP="005F2A13">
      <w:proofErr w:type="gramStart"/>
      <w:r w:rsidRPr="005F2A13">
        <w:rPr>
          <w:i/>
        </w:rPr>
        <w:t>Tri-State Quality Review Rubric.</w:t>
      </w:r>
      <w:proofErr w:type="gramEnd"/>
      <w:r>
        <w:t xml:space="preserve"> Engage NY. </w:t>
      </w:r>
      <w:proofErr w:type="gramStart"/>
      <w:r>
        <w:t>Web.</w:t>
      </w:r>
      <w:proofErr w:type="gramEnd"/>
      <w:r>
        <w:t xml:space="preserve"> April 2012. &lt;</w:t>
      </w:r>
      <w:bookmarkStart w:id="5" w:name="OLE_LINK2"/>
      <w:r w:rsidRPr="005F2A13">
        <w:t>http://engageny.org/resource/tri-state-quality-review-rubric-and-rating-</w:t>
      </w:r>
    </w:p>
    <w:p w:rsidR="00A07743" w:rsidRDefault="005F2A13" w:rsidP="005F2A13">
      <w:pPr>
        <w:ind w:firstLine="720"/>
      </w:pPr>
      <w:proofErr w:type="gramStart"/>
      <w:r w:rsidRPr="005F2A13">
        <w:t>process</w:t>
      </w:r>
      <w:proofErr w:type="gramEnd"/>
      <w:r w:rsidRPr="005F2A13">
        <w:t>/</w:t>
      </w:r>
      <w:r>
        <w:t>&gt;</w:t>
      </w:r>
    </w:p>
    <w:bookmarkEnd w:id="5"/>
    <w:p w:rsidR="005F2A13" w:rsidRDefault="005F2A13"/>
    <w:p w:rsidR="00A07743" w:rsidRDefault="00A07743"/>
    <w:p w:rsidR="00A07743" w:rsidRDefault="00A07743"/>
    <w:p w:rsidR="00A07743" w:rsidRDefault="00A07743"/>
    <w:p w:rsidR="00A07743" w:rsidRDefault="00A07743"/>
    <w:p w:rsidR="00A07743" w:rsidRDefault="00A07743"/>
    <w:p w:rsidR="00A07743" w:rsidRDefault="00A07743"/>
    <w:p w:rsidR="00A07743" w:rsidRDefault="00A07743"/>
    <w:p w:rsidR="00A07743" w:rsidRDefault="00A07743"/>
    <w:p w:rsidR="003A5CE1" w:rsidRDefault="003A5CE1"/>
    <w:p w:rsidR="003A5CE1" w:rsidRDefault="003A5CE1"/>
    <w:p w:rsidR="003A5CE1" w:rsidRDefault="003A5CE1"/>
    <w:p w:rsidR="003A5CE1" w:rsidRDefault="003A5CE1"/>
    <w:p w:rsidR="00A07743" w:rsidRDefault="00A07743"/>
    <w:sectPr w:rsidR="00A07743" w:rsidSect="003D4DA4">
      <w:headerReference w:type="default" r:id="rId10"/>
      <w:footerReference w:type="default" r:id="rId11"/>
      <w:pgSz w:w="15840" w:h="12240" w:orient="landscape"/>
      <w:pgMar w:top="720" w:right="720" w:bottom="720" w:left="720" w:header="720" w:footer="1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74F" w:rsidRDefault="0014774F" w:rsidP="0026731F">
      <w:r>
        <w:separator/>
      </w:r>
    </w:p>
  </w:endnote>
  <w:endnote w:type="continuationSeparator" w:id="0">
    <w:p w:rsidR="0014774F" w:rsidRDefault="0014774F" w:rsidP="00267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B8E" w:rsidRDefault="000325EA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6.35pt;margin-top:-21.9pt;width:587.25pt;height:47.25pt;z-index:251661312;mso-position-horizontal-relative:margin" filled="f" stroked="f">
          <v:textbox style="mso-next-textbox:#_x0000_s2049">
            <w:txbxContent>
              <w:p w:rsidR="000B1B8E" w:rsidRPr="0078179F" w:rsidRDefault="000B1B8E" w:rsidP="0026731F"/>
              <w:tbl>
                <w:tblPr>
                  <w:tblW w:w="10268" w:type="dxa"/>
                  <w:jc w:val="center"/>
                  <w:tblLook w:val="01E0"/>
                </w:tblPr>
                <w:tblGrid>
                  <w:gridCol w:w="10268"/>
                </w:tblGrid>
                <w:tr w:rsidR="000B1B8E" w:rsidRPr="0078179F" w:rsidTr="00084FBF">
                  <w:trPr>
                    <w:trHeight w:val="621"/>
                    <w:jc w:val="center"/>
                  </w:trPr>
                  <w:tc>
                    <w:tcPr>
                      <w:tcW w:w="10268" w:type="dxa"/>
                    </w:tcPr>
                    <w:p w:rsidR="000B1B8E" w:rsidRPr="0078179F" w:rsidRDefault="000B1B8E" w:rsidP="00084FB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color w:val="BFBFBF" w:themeColor="background1" w:themeShade="BF"/>
                          <w:sz w:val="20"/>
                          <w:szCs w:val="20"/>
                        </w:rPr>
                        <w:t xml:space="preserve">  </w:t>
                      </w:r>
                      <w:r w:rsidRPr="0078179F">
                        <w:rPr>
                          <w:i/>
                          <w:color w:val="BFBFBF" w:themeColor="background1" w:themeShade="BF"/>
                          <w:sz w:val="20"/>
                          <w:szCs w:val="20"/>
                        </w:rPr>
                        <w:t>Maryland STEM:  Innovation Today to Meet Tomorrow’s Global Challenges.</w:t>
                      </w:r>
                    </w:p>
                  </w:tc>
                </w:tr>
              </w:tbl>
              <w:p w:rsidR="000B1B8E" w:rsidRDefault="000B1B8E" w:rsidP="0026731F"/>
            </w:txbxContent>
          </v:textbox>
          <w10:wrap anchorx="margin"/>
        </v:shape>
      </w:pict>
    </w:r>
    <w:r w:rsidR="003A5CE1">
      <w:tab/>
    </w:r>
    <w:r w:rsidR="003A5CE1">
      <w:tab/>
    </w:r>
    <w:r w:rsidR="003A5CE1">
      <w:tab/>
    </w:r>
    <w:r w:rsidR="003A5CE1">
      <w:tab/>
    </w:r>
    <w:r w:rsidR="003A5CE1">
      <w:tab/>
    </w:r>
    <w:r w:rsidR="003A5CE1">
      <w:tab/>
    </w:r>
    <w:r w:rsidR="003A5CE1">
      <w:tab/>
    </w:r>
    <w:r w:rsidR="003A5CE1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74F" w:rsidRDefault="0014774F" w:rsidP="0026731F">
      <w:r>
        <w:separator/>
      </w:r>
    </w:p>
  </w:footnote>
  <w:footnote w:type="continuationSeparator" w:id="0">
    <w:p w:rsidR="0014774F" w:rsidRDefault="0014774F" w:rsidP="00267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B8E" w:rsidRPr="00360733" w:rsidRDefault="000B1B8E" w:rsidP="0026731F">
    <w:pPr>
      <w:jc w:val="center"/>
      <w:rPr>
        <w:b/>
        <w:sz w:val="28"/>
        <w:szCs w:val="28"/>
      </w:rPr>
    </w:pPr>
    <w:r w:rsidRPr="00360733">
      <w:rPr>
        <w:b/>
        <w:noProof/>
        <w:sz w:val="28"/>
        <w:szCs w:val="28"/>
      </w:rPr>
      <w:drawing>
        <wp:anchor distT="0" distB="0" distL="0" distR="0" simplePos="0" relativeHeight="251659264" behindDoc="0" locked="0" layoutInCell="1" allowOverlap="0">
          <wp:simplePos x="0" y="0"/>
          <wp:positionH relativeFrom="margin">
            <wp:align>right</wp:align>
          </wp:positionH>
          <wp:positionV relativeFrom="line">
            <wp:posOffset>-219710</wp:posOffset>
          </wp:positionV>
          <wp:extent cx="419735" cy="450850"/>
          <wp:effectExtent l="19050" t="0" r="0" b="0"/>
          <wp:wrapSquare wrapText="bothSides"/>
          <wp:docPr id="3" name="Picture 2" descr="Maryland ST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yland STEM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35" cy="450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4DA4" w:rsidRPr="00360733">
      <w:rPr>
        <w:b/>
        <w:sz w:val="28"/>
        <w:szCs w:val="28"/>
      </w:rPr>
      <w:t>STEM Centric Lesson and</w:t>
    </w:r>
    <w:r w:rsidR="002A7FCE" w:rsidRPr="00360733">
      <w:rPr>
        <w:b/>
        <w:sz w:val="28"/>
        <w:szCs w:val="28"/>
      </w:rPr>
      <w:t xml:space="preserve"> Unit</w:t>
    </w:r>
    <w:r w:rsidR="005F2A13" w:rsidRPr="00360733">
      <w:rPr>
        <w:b/>
        <w:sz w:val="28"/>
        <w:szCs w:val="28"/>
      </w:rPr>
      <w:t xml:space="preserve"> Checkl</w:t>
    </w:r>
    <w:r w:rsidRPr="00360733">
      <w:rPr>
        <w:b/>
        <w:sz w:val="28"/>
        <w:szCs w:val="28"/>
      </w:rPr>
      <w:t>ist</w:t>
    </w:r>
  </w:p>
  <w:p w:rsidR="000B1B8E" w:rsidRDefault="000B1B8E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-291465</wp:posOffset>
          </wp:positionV>
          <wp:extent cx="1073150" cy="332105"/>
          <wp:effectExtent l="19050" t="0" r="0" b="0"/>
          <wp:wrapSquare wrapText="bothSides"/>
          <wp:docPr id="5" name="Picture 1" descr="MSDElogo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SDElogotest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332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003D0"/>
    <w:multiLevelType w:val="hybridMultilevel"/>
    <w:tmpl w:val="84A899F0"/>
    <w:lvl w:ilvl="0" w:tplc="2D383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3A02"/>
    <w:rsid w:val="000325EA"/>
    <w:rsid w:val="00072C1D"/>
    <w:rsid w:val="00084FBF"/>
    <w:rsid w:val="00085AAB"/>
    <w:rsid w:val="000B1B8E"/>
    <w:rsid w:val="001071FE"/>
    <w:rsid w:val="0014774F"/>
    <w:rsid w:val="00190062"/>
    <w:rsid w:val="001A14C9"/>
    <w:rsid w:val="001F4FCA"/>
    <w:rsid w:val="00222ECF"/>
    <w:rsid w:val="00232E7A"/>
    <w:rsid w:val="00253EC6"/>
    <w:rsid w:val="0026731F"/>
    <w:rsid w:val="00285C1C"/>
    <w:rsid w:val="002866F5"/>
    <w:rsid w:val="002A7FCE"/>
    <w:rsid w:val="00360733"/>
    <w:rsid w:val="003A1025"/>
    <w:rsid w:val="003A5CE1"/>
    <w:rsid w:val="003C2227"/>
    <w:rsid w:val="003C6BCB"/>
    <w:rsid w:val="003D4DA4"/>
    <w:rsid w:val="00416D56"/>
    <w:rsid w:val="0052511C"/>
    <w:rsid w:val="00554A2F"/>
    <w:rsid w:val="00596E0C"/>
    <w:rsid w:val="005F2A13"/>
    <w:rsid w:val="006F7706"/>
    <w:rsid w:val="00757E44"/>
    <w:rsid w:val="0076280C"/>
    <w:rsid w:val="00796B6E"/>
    <w:rsid w:val="0083702E"/>
    <w:rsid w:val="0085347C"/>
    <w:rsid w:val="00867C66"/>
    <w:rsid w:val="008B08C7"/>
    <w:rsid w:val="0091178B"/>
    <w:rsid w:val="00921EC5"/>
    <w:rsid w:val="00953A02"/>
    <w:rsid w:val="00994700"/>
    <w:rsid w:val="009D0F24"/>
    <w:rsid w:val="009F68D4"/>
    <w:rsid w:val="00A07743"/>
    <w:rsid w:val="00A37E8A"/>
    <w:rsid w:val="00AC2024"/>
    <w:rsid w:val="00B00A6D"/>
    <w:rsid w:val="00B628B3"/>
    <w:rsid w:val="00B906CB"/>
    <w:rsid w:val="00BC300D"/>
    <w:rsid w:val="00BE5272"/>
    <w:rsid w:val="00C10B97"/>
    <w:rsid w:val="00C76D19"/>
    <w:rsid w:val="00C9604A"/>
    <w:rsid w:val="00CF6DEE"/>
    <w:rsid w:val="00D15A3A"/>
    <w:rsid w:val="00D70A5A"/>
    <w:rsid w:val="00DD119D"/>
    <w:rsid w:val="00DD43C3"/>
    <w:rsid w:val="00E335A8"/>
    <w:rsid w:val="00E53553"/>
    <w:rsid w:val="00EB71C0"/>
    <w:rsid w:val="00F23F7F"/>
    <w:rsid w:val="00F348A1"/>
    <w:rsid w:val="00F77FD7"/>
    <w:rsid w:val="00F86F0E"/>
    <w:rsid w:val="00F922C6"/>
    <w:rsid w:val="00FC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73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31F"/>
  </w:style>
  <w:style w:type="paragraph" w:styleId="Footer">
    <w:name w:val="footer"/>
    <w:basedOn w:val="Normal"/>
    <w:link w:val="FooterChar"/>
    <w:uiPriority w:val="99"/>
    <w:unhideWhenUsed/>
    <w:rsid w:val="002673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31F"/>
  </w:style>
  <w:style w:type="table" w:styleId="TableGrid">
    <w:name w:val="Table Grid"/>
    <w:basedOn w:val="TableNormal"/>
    <w:uiPriority w:val="59"/>
    <w:rsid w:val="00A07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77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2E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ylandlearninglinks.org/95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da.us/standards/CAN_DO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938C0AC-1925-44C1-867E-10B8B64F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tbdwyer</dc:creator>
  <cp:keywords/>
  <dc:description/>
  <cp:lastModifiedBy>tbdwyer</cp:lastModifiedBy>
  <cp:revision>20</cp:revision>
  <cp:lastPrinted>2012-05-14T11:53:00Z</cp:lastPrinted>
  <dcterms:created xsi:type="dcterms:W3CDTF">2012-04-20T11:10:00Z</dcterms:created>
  <dcterms:modified xsi:type="dcterms:W3CDTF">2012-05-14T11:57:00Z</dcterms:modified>
</cp:coreProperties>
</file>